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D5185" w14:textId="4678CE90" w:rsidR="00B62614" w:rsidRDefault="004267B0" w:rsidP="00B62614">
      <w:pPr>
        <w:pStyle w:val="Overskrift1"/>
        <w:rPr>
          <w:rFonts w:ascii="Verdana" w:hAnsi="Verdana"/>
          <w:color w:val="auto"/>
        </w:rPr>
      </w:pPr>
      <w:r>
        <w:rPr>
          <w:rFonts w:ascii="Verdana" w:hAnsi="Verdana"/>
          <w:b/>
          <w:color w:val="auto"/>
        </w:rPr>
        <w:t xml:space="preserve">Referat af uanmeldt pædagogisk tilsyn i: </w:t>
      </w:r>
      <w:r w:rsidR="00526ED7">
        <w:rPr>
          <w:rFonts w:ascii="Verdana" w:hAnsi="Verdana"/>
          <w:b/>
          <w:color w:val="auto"/>
        </w:rPr>
        <w:t xml:space="preserve">Børnehytten </w:t>
      </w:r>
      <w:r w:rsidR="00912944">
        <w:rPr>
          <w:rFonts w:ascii="Verdana" w:hAnsi="Verdana"/>
          <w:b/>
          <w:color w:val="auto"/>
        </w:rPr>
        <w:t xml:space="preserve"> </w:t>
      </w:r>
    </w:p>
    <w:p w14:paraId="5DE3F8EC" w14:textId="77777777" w:rsidR="008D7791" w:rsidRDefault="008D7791" w:rsidP="008D7791">
      <w:r>
        <w:t xml:space="preserve">Det uanmeldte pædagogiske tilsyn tager afsæt i rapporten fra det anmeldte pædagogiske tilsyn og observationsguiden. </w:t>
      </w:r>
    </w:p>
    <w:p w14:paraId="0DD15E30" w14:textId="77777777" w:rsidR="008D7791" w:rsidRDefault="008D7791" w:rsidP="008D7791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Den pædagogiske praksis observeres p</w:t>
      </w:r>
      <w:r w:rsidRPr="001B264A">
        <w:rPr>
          <w:rFonts w:ascii="Verdana" w:hAnsi="Verdana"/>
          <w:bCs/>
          <w:sz w:val="18"/>
          <w:szCs w:val="18"/>
        </w:rPr>
        <w:t>å baggrund af temaer</w:t>
      </w:r>
      <w:r>
        <w:rPr>
          <w:rFonts w:ascii="Verdana" w:hAnsi="Verdana"/>
          <w:bCs/>
          <w:sz w:val="18"/>
          <w:szCs w:val="18"/>
        </w:rPr>
        <w:t>ne</w:t>
      </w:r>
      <w:r w:rsidRPr="001B264A">
        <w:rPr>
          <w:rFonts w:ascii="Verdana" w:hAnsi="Verdana"/>
          <w:bCs/>
          <w:sz w:val="18"/>
          <w:szCs w:val="18"/>
        </w:rPr>
        <w:t xml:space="preserve"> for </w:t>
      </w:r>
      <w:r>
        <w:rPr>
          <w:rFonts w:ascii="Verdana" w:hAnsi="Verdana"/>
          <w:bCs/>
          <w:sz w:val="18"/>
          <w:szCs w:val="18"/>
        </w:rPr>
        <w:t xml:space="preserve">udviklings- og </w:t>
      </w:r>
      <w:r w:rsidRPr="001B264A">
        <w:rPr>
          <w:rFonts w:ascii="Verdana" w:hAnsi="Verdana"/>
          <w:bCs/>
          <w:sz w:val="18"/>
          <w:szCs w:val="18"/>
        </w:rPr>
        <w:t>opfølgningspunkter</w:t>
      </w:r>
      <w:r>
        <w:rPr>
          <w:rFonts w:ascii="Verdana" w:hAnsi="Verdana"/>
          <w:bCs/>
          <w:sz w:val="18"/>
          <w:szCs w:val="18"/>
        </w:rPr>
        <w:t xml:space="preserve"> fra det anmeldte pædagogiske tilsyn, samt den overordnede vurdering af det pædagogiske læringsmiljø.</w:t>
      </w:r>
    </w:p>
    <w:p w14:paraId="1CD546A5" w14:textId="47356066" w:rsidR="00565F33" w:rsidRPr="008D7791" w:rsidRDefault="008D7791" w:rsidP="00B62614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Ved opfølgningspunkterne vil dagtilbuddet opfølgningsplan ligeledes indgå som afsæt for observationen. </w:t>
      </w:r>
    </w:p>
    <w:tbl>
      <w:tblPr>
        <w:tblStyle w:val="Tabel-Gitter"/>
        <w:tblW w:w="9634" w:type="dxa"/>
        <w:tblLook w:val="04A0" w:firstRow="1" w:lastRow="0" w:firstColumn="1" w:lastColumn="0" w:noHBand="0" w:noVBand="1"/>
        <w:tblDescription w:val="Dato og tilsynsførende "/>
      </w:tblPr>
      <w:tblGrid>
        <w:gridCol w:w="2650"/>
        <w:gridCol w:w="6984"/>
      </w:tblGrid>
      <w:tr w:rsidR="00D86A6E" w:rsidRPr="00A73175" w14:paraId="41E07B92" w14:textId="6866E3A9" w:rsidTr="00D86A6E">
        <w:tc>
          <w:tcPr>
            <w:tcW w:w="2650" w:type="dxa"/>
            <w:shd w:val="clear" w:color="auto" w:fill="F6D0D2" w:themeFill="accent1" w:themeFillTint="33"/>
          </w:tcPr>
          <w:p w14:paraId="1E378DAF" w14:textId="4E64104A" w:rsidR="00D86A6E" w:rsidRPr="00A73175" w:rsidRDefault="00D86A6E" w:rsidP="00827934">
            <w:pPr>
              <w:rPr>
                <w:rFonts w:ascii="Verdana" w:hAnsi="Verdana"/>
                <w:sz w:val="18"/>
                <w:szCs w:val="18"/>
              </w:rPr>
            </w:pPr>
            <w:r w:rsidRPr="00A73175">
              <w:rPr>
                <w:rFonts w:ascii="Verdana" w:hAnsi="Verdana"/>
                <w:sz w:val="18"/>
                <w:szCs w:val="18"/>
              </w:rPr>
              <w:t xml:space="preserve">Dato for </w:t>
            </w:r>
            <w:r>
              <w:rPr>
                <w:rFonts w:ascii="Verdana" w:hAnsi="Verdana"/>
                <w:sz w:val="18"/>
                <w:szCs w:val="18"/>
              </w:rPr>
              <w:t>tilsyn</w:t>
            </w:r>
            <w:r w:rsidRPr="00A73175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984" w:type="dxa"/>
            <w:tcBorders>
              <w:left w:val="nil"/>
            </w:tcBorders>
          </w:tcPr>
          <w:p w14:paraId="4E38B7CA" w14:textId="185FDEED" w:rsidR="00D86A6E" w:rsidRPr="00A73175" w:rsidRDefault="00CF25C6" w:rsidP="0082793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03</w:t>
            </w:r>
            <w:r w:rsidR="007609B6">
              <w:rPr>
                <w:rFonts w:ascii="Verdana" w:hAnsi="Verdana"/>
                <w:sz w:val="18"/>
                <w:szCs w:val="18"/>
              </w:rPr>
              <w:t>-1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  <w:r w:rsidR="00034949">
              <w:rPr>
                <w:rFonts w:ascii="Verdana" w:hAnsi="Verdana"/>
                <w:sz w:val="18"/>
                <w:szCs w:val="18"/>
              </w:rPr>
              <w:t>-2024</w:t>
            </w:r>
          </w:p>
        </w:tc>
      </w:tr>
      <w:tr w:rsidR="00D86A6E" w:rsidRPr="00A73175" w14:paraId="2F4AA6D7" w14:textId="70EFA1B6" w:rsidTr="00D86A6E">
        <w:tc>
          <w:tcPr>
            <w:tcW w:w="2650" w:type="dxa"/>
            <w:shd w:val="clear" w:color="auto" w:fill="F6D0D2" w:themeFill="accent1" w:themeFillTint="33"/>
          </w:tcPr>
          <w:p w14:paraId="5BF17078" w14:textId="77777777" w:rsidR="00D86A6E" w:rsidRDefault="00D86A6E" w:rsidP="00827934">
            <w:pPr>
              <w:rPr>
                <w:rFonts w:ascii="Verdana" w:hAnsi="Verdana"/>
                <w:sz w:val="18"/>
                <w:szCs w:val="18"/>
              </w:rPr>
            </w:pPr>
            <w:r w:rsidRPr="00A73175">
              <w:rPr>
                <w:rFonts w:ascii="Verdana" w:hAnsi="Verdana"/>
                <w:sz w:val="18"/>
                <w:szCs w:val="18"/>
              </w:rPr>
              <w:t>Tilsynsførende:</w:t>
            </w:r>
          </w:p>
          <w:p w14:paraId="5874A307" w14:textId="77777777" w:rsidR="00D86A6E" w:rsidRPr="00A73175" w:rsidRDefault="00D86A6E" w:rsidP="0082793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84" w:type="dxa"/>
            <w:tcBorders>
              <w:left w:val="nil"/>
            </w:tcBorders>
          </w:tcPr>
          <w:p w14:paraId="341BC173" w14:textId="3357B9BA" w:rsidR="00D86A6E" w:rsidRPr="00A73175" w:rsidRDefault="00034949" w:rsidP="0082793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Pia Beier Lund </w:t>
            </w:r>
          </w:p>
        </w:tc>
      </w:tr>
    </w:tbl>
    <w:p w14:paraId="3E8EA88B" w14:textId="24DB603E" w:rsidR="004267B0" w:rsidRPr="009150DB" w:rsidRDefault="00565F33" w:rsidP="004267B0">
      <w:pPr>
        <w:pStyle w:val="Overskrift1"/>
        <w:rPr>
          <w:rFonts w:ascii="Verdana" w:hAnsi="Verdana"/>
          <w:b/>
          <w:color w:val="auto"/>
          <w:sz w:val="24"/>
          <w:szCs w:val="24"/>
        </w:rPr>
      </w:pPr>
      <w:r>
        <w:rPr>
          <w:rFonts w:ascii="Verdana" w:hAnsi="Verdana"/>
          <w:b/>
          <w:color w:val="auto"/>
          <w:sz w:val="24"/>
          <w:szCs w:val="24"/>
        </w:rPr>
        <w:t>T</w:t>
      </w:r>
      <w:r w:rsidR="009150DB" w:rsidRPr="009150DB">
        <w:rPr>
          <w:rFonts w:ascii="Verdana" w:hAnsi="Verdana"/>
          <w:b/>
          <w:color w:val="auto"/>
          <w:sz w:val="24"/>
          <w:szCs w:val="24"/>
        </w:rPr>
        <w:t>ilsynsførendes v</w:t>
      </w:r>
      <w:r w:rsidR="004267B0" w:rsidRPr="009150DB">
        <w:rPr>
          <w:rFonts w:ascii="Verdana" w:hAnsi="Verdana"/>
          <w:b/>
          <w:color w:val="auto"/>
          <w:sz w:val="24"/>
          <w:szCs w:val="24"/>
        </w:rPr>
        <w:t>urdering af det pædagogiske læringsmiljø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Tilsynsførendes vurdering af det pædagogiske læringsmiljø"/>
      </w:tblPr>
      <w:tblGrid>
        <w:gridCol w:w="9628"/>
      </w:tblGrid>
      <w:tr w:rsidR="004267B0" w:rsidRPr="00A73175" w14:paraId="1A0016D4" w14:textId="77777777" w:rsidTr="000C06B7">
        <w:trPr>
          <w:trHeight w:val="268"/>
        </w:trPr>
        <w:tc>
          <w:tcPr>
            <w:tcW w:w="9628" w:type="dxa"/>
            <w:shd w:val="clear" w:color="auto" w:fill="EDD9A5" w:themeFill="background2" w:themeFillTint="66"/>
          </w:tcPr>
          <w:p w14:paraId="67F93595" w14:textId="50EF9CC3" w:rsidR="00D83BF4" w:rsidRDefault="001F380A" w:rsidP="001F380A">
            <w:pPr>
              <w:rPr>
                <w:rFonts w:ascii="Verdana" w:hAnsi="Verdana"/>
                <w:sz w:val="18"/>
                <w:szCs w:val="18"/>
              </w:rPr>
            </w:pPr>
            <w:r w:rsidRPr="001F380A">
              <w:rPr>
                <w:rFonts w:ascii="Verdana" w:hAnsi="Verdana"/>
                <w:sz w:val="18"/>
                <w:szCs w:val="18"/>
              </w:rPr>
              <w:t xml:space="preserve">Under det uanmeldte tilsyn observeres en samling i </w:t>
            </w:r>
            <w:r w:rsidR="005E01EB">
              <w:rPr>
                <w:rFonts w:ascii="Verdana" w:hAnsi="Verdana"/>
                <w:sz w:val="18"/>
                <w:szCs w:val="18"/>
              </w:rPr>
              <w:t>vuggestuen, hvor der syn</w:t>
            </w:r>
            <w:r w:rsidR="007429BB">
              <w:rPr>
                <w:rFonts w:ascii="Verdana" w:hAnsi="Verdana"/>
                <w:sz w:val="18"/>
                <w:szCs w:val="18"/>
              </w:rPr>
              <w:t>g</w:t>
            </w:r>
            <w:r w:rsidR="005E01EB">
              <w:rPr>
                <w:rFonts w:ascii="Verdana" w:hAnsi="Verdana"/>
                <w:sz w:val="18"/>
                <w:szCs w:val="18"/>
              </w:rPr>
              <w:t>es julesange med fagter.</w:t>
            </w:r>
            <w:r w:rsidR="007B799C">
              <w:rPr>
                <w:rFonts w:ascii="Verdana" w:hAnsi="Verdana"/>
                <w:sz w:val="18"/>
                <w:szCs w:val="18"/>
              </w:rPr>
              <w:t xml:space="preserve"> De pædagogiske medarbejderes samspil med børnene b</w:t>
            </w:r>
            <w:r w:rsidR="00917013">
              <w:rPr>
                <w:rFonts w:ascii="Verdana" w:hAnsi="Verdana"/>
                <w:sz w:val="18"/>
                <w:szCs w:val="18"/>
              </w:rPr>
              <w:t>ærer</w:t>
            </w:r>
            <w:r w:rsidR="007B799C">
              <w:rPr>
                <w:rFonts w:ascii="Verdana" w:hAnsi="Verdana"/>
                <w:sz w:val="18"/>
                <w:szCs w:val="18"/>
              </w:rPr>
              <w:t xml:space="preserve"> præg af glæde og koncentration</w:t>
            </w:r>
            <w:r w:rsidR="00917013">
              <w:rPr>
                <w:rFonts w:ascii="Verdana" w:hAnsi="Verdana"/>
                <w:sz w:val="18"/>
                <w:szCs w:val="18"/>
              </w:rPr>
              <w:t>, ved overgangen til</w:t>
            </w:r>
            <w:r w:rsidR="00FE49F0">
              <w:rPr>
                <w:rFonts w:ascii="Verdana" w:hAnsi="Verdana"/>
                <w:sz w:val="18"/>
                <w:szCs w:val="18"/>
              </w:rPr>
              <w:t xml:space="preserve"> næste aktivitet spørges børnene hvad de vil lege med. </w:t>
            </w:r>
            <w:r w:rsidR="004E1DDF">
              <w:rPr>
                <w:rFonts w:ascii="Verdana" w:hAnsi="Verdana"/>
                <w:sz w:val="18"/>
                <w:szCs w:val="18"/>
              </w:rPr>
              <w:t xml:space="preserve">Børnene siger noget forskelligt, men efterfølgende samler de sig ved </w:t>
            </w:r>
            <w:proofErr w:type="spellStart"/>
            <w:r w:rsidR="004E1DDF">
              <w:rPr>
                <w:rFonts w:ascii="Verdana" w:hAnsi="Verdana"/>
                <w:sz w:val="18"/>
                <w:szCs w:val="18"/>
              </w:rPr>
              <w:t>rutchebanen</w:t>
            </w:r>
            <w:proofErr w:type="spellEnd"/>
            <w:r w:rsidR="004E1DDF">
              <w:rPr>
                <w:rFonts w:ascii="Verdana" w:hAnsi="Verdana"/>
                <w:sz w:val="18"/>
                <w:szCs w:val="18"/>
              </w:rPr>
              <w:t xml:space="preserve"> sammen med den ene </w:t>
            </w:r>
            <w:r w:rsidR="001F5426">
              <w:rPr>
                <w:rFonts w:ascii="Verdana" w:hAnsi="Verdana"/>
                <w:sz w:val="18"/>
                <w:szCs w:val="18"/>
              </w:rPr>
              <w:t>pædagogiske medarbejder. Den anden pæd. medarbejder rydder op og tørrer bordet af</w:t>
            </w:r>
            <w:r w:rsidR="003A672F">
              <w:rPr>
                <w:rFonts w:ascii="Verdana" w:hAnsi="Verdana"/>
                <w:sz w:val="18"/>
                <w:szCs w:val="18"/>
              </w:rPr>
              <w:t xml:space="preserve">. Der er ingen af børnene der hjælper til. </w:t>
            </w:r>
          </w:p>
          <w:p w14:paraId="0658FA7F" w14:textId="77777777" w:rsidR="00394DA2" w:rsidRDefault="00394DA2" w:rsidP="001F380A">
            <w:pPr>
              <w:rPr>
                <w:rFonts w:ascii="Verdana" w:hAnsi="Verdana"/>
                <w:sz w:val="18"/>
                <w:szCs w:val="18"/>
              </w:rPr>
            </w:pPr>
          </w:p>
          <w:p w14:paraId="128B97F5" w14:textId="313E5FA4" w:rsidR="006B5D24" w:rsidRDefault="00394DA2" w:rsidP="001F380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 børnehavegruppen </w:t>
            </w:r>
            <w:r w:rsidR="00695861">
              <w:rPr>
                <w:rFonts w:ascii="Verdana" w:hAnsi="Verdana"/>
                <w:sz w:val="18"/>
                <w:szCs w:val="18"/>
              </w:rPr>
              <w:t>er der en del uro</w:t>
            </w:r>
            <w:r w:rsidR="00251793">
              <w:rPr>
                <w:rFonts w:ascii="Verdana" w:hAnsi="Verdana"/>
                <w:sz w:val="18"/>
                <w:szCs w:val="18"/>
              </w:rPr>
              <w:t xml:space="preserve"> efter samling</w:t>
            </w:r>
            <w:r w:rsidR="00695861">
              <w:rPr>
                <w:rFonts w:ascii="Verdana" w:hAnsi="Verdana"/>
                <w:sz w:val="18"/>
                <w:szCs w:val="18"/>
              </w:rPr>
              <w:t xml:space="preserve">, hvor børnene går </w:t>
            </w:r>
            <w:r w:rsidR="00A337A1">
              <w:rPr>
                <w:rFonts w:ascii="Verdana" w:hAnsi="Verdana"/>
                <w:sz w:val="18"/>
                <w:szCs w:val="18"/>
              </w:rPr>
              <w:t xml:space="preserve">rundt og har vanskeligt ved at falde til i de forskellige læringsmiljøer til trods for at de pædagogiske medarbejdere </w:t>
            </w:r>
            <w:r w:rsidR="00B520A0">
              <w:rPr>
                <w:rFonts w:ascii="Verdana" w:hAnsi="Verdana"/>
                <w:sz w:val="18"/>
                <w:szCs w:val="18"/>
              </w:rPr>
              <w:t xml:space="preserve">forsøger at </w:t>
            </w:r>
            <w:r w:rsidR="005B54AD">
              <w:rPr>
                <w:rFonts w:ascii="Verdana" w:hAnsi="Verdana"/>
                <w:sz w:val="18"/>
                <w:szCs w:val="18"/>
              </w:rPr>
              <w:t>gøre dem opmærksom på mulighederne.</w:t>
            </w:r>
            <w:r w:rsidR="00E6516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B1E23">
              <w:rPr>
                <w:rFonts w:ascii="Verdana" w:hAnsi="Verdana"/>
                <w:sz w:val="18"/>
                <w:szCs w:val="18"/>
              </w:rPr>
              <w:t xml:space="preserve">Læringsmiljøerne appellerer </w:t>
            </w:r>
            <w:r w:rsidR="00EC318D">
              <w:rPr>
                <w:rFonts w:ascii="Verdana" w:hAnsi="Verdana"/>
                <w:sz w:val="18"/>
                <w:szCs w:val="18"/>
              </w:rPr>
              <w:t xml:space="preserve">til leg, hvor børnene </w:t>
            </w:r>
            <w:r w:rsidR="00192D83">
              <w:rPr>
                <w:rFonts w:ascii="Verdana" w:hAnsi="Verdana"/>
                <w:sz w:val="18"/>
                <w:szCs w:val="18"/>
              </w:rPr>
              <w:t xml:space="preserve">bruger deres stemmer. Akustikken i rummet </w:t>
            </w:r>
            <w:r w:rsidR="009775A3">
              <w:rPr>
                <w:rFonts w:ascii="Verdana" w:hAnsi="Verdana"/>
                <w:sz w:val="18"/>
                <w:szCs w:val="18"/>
              </w:rPr>
              <w:t>kaster stemmerne rundt, så børnene gensidigt forstyrrer hinanden</w:t>
            </w:r>
            <w:r w:rsidR="00D461F6">
              <w:rPr>
                <w:rFonts w:ascii="Verdana" w:hAnsi="Verdana"/>
                <w:sz w:val="18"/>
                <w:szCs w:val="18"/>
              </w:rPr>
              <w:t xml:space="preserve">, og </w:t>
            </w:r>
            <w:r w:rsidR="00334E3E">
              <w:rPr>
                <w:rFonts w:ascii="Verdana" w:hAnsi="Verdana"/>
                <w:sz w:val="18"/>
                <w:szCs w:val="18"/>
              </w:rPr>
              <w:t>hæver støjniveauet</w:t>
            </w:r>
            <w:r w:rsidR="009775A3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14:paraId="1C082D26" w14:textId="77777777" w:rsidR="006B5D24" w:rsidRDefault="006B5D24" w:rsidP="001F380A">
            <w:pPr>
              <w:rPr>
                <w:rFonts w:ascii="Verdana" w:hAnsi="Verdana"/>
                <w:sz w:val="18"/>
                <w:szCs w:val="18"/>
              </w:rPr>
            </w:pPr>
          </w:p>
          <w:p w14:paraId="57379A53" w14:textId="74615271" w:rsidR="00B520A0" w:rsidRDefault="006B5D24" w:rsidP="001F380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Der ses mange mindre læringsmiljøer i huset som er tydeligt definerede med skilte og sorteret</w:t>
            </w:r>
            <w:r w:rsidR="008D7DC1">
              <w:rPr>
                <w:rFonts w:ascii="Verdana" w:hAnsi="Verdana"/>
                <w:sz w:val="18"/>
                <w:szCs w:val="18"/>
              </w:rPr>
              <w:t xml:space="preserve"> legetøj i kurve. </w:t>
            </w:r>
          </w:p>
          <w:p w14:paraId="4EF65DD7" w14:textId="4C710729" w:rsidR="00CE6EF0" w:rsidRDefault="001F380A" w:rsidP="001F380A">
            <w:pPr>
              <w:rPr>
                <w:rFonts w:ascii="Verdana" w:hAnsi="Verdana"/>
                <w:sz w:val="18"/>
                <w:szCs w:val="18"/>
              </w:rPr>
            </w:pPr>
            <w:r w:rsidRPr="001F380A">
              <w:rPr>
                <w:rFonts w:ascii="Verdana" w:hAnsi="Verdana"/>
                <w:sz w:val="18"/>
                <w:szCs w:val="18"/>
              </w:rPr>
              <w:t>De pædagogiske medarbejdere er positioneret og godt fordelt i læringsmiljøerne og er optaget af at h</w:t>
            </w:r>
            <w:r w:rsidR="00EC1918">
              <w:rPr>
                <w:rFonts w:ascii="Verdana" w:hAnsi="Verdana"/>
                <w:sz w:val="18"/>
                <w:szCs w:val="18"/>
              </w:rPr>
              <w:t xml:space="preserve">jælpe børnene i </w:t>
            </w:r>
            <w:r w:rsidR="0010612C">
              <w:rPr>
                <w:rFonts w:ascii="Verdana" w:hAnsi="Verdana"/>
                <w:sz w:val="18"/>
                <w:szCs w:val="18"/>
              </w:rPr>
              <w:t xml:space="preserve">deres aktivitet. </w:t>
            </w:r>
            <w:r w:rsidRPr="001F380A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6F736FFD" w14:textId="77777777" w:rsidR="00CE6EF0" w:rsidRDefault="00CE6EF0" w:rsidP="001F380A">
            <w:pPr>
              <w:rPr>
                <w:rFonts w:ascii="Verdana" w:hAnsi="Verdana"/>
                <w:sz w:val="18"/>
                <w:szCs w:val="18"/>
              </w:rPr>
            </w:pPr>
          </w:p>
          <w:p w14:paraId="2DEB2AB7" w14:textId="09CEB331" w:rsidR="001F380A" w:rsidRDefault="001F380A" w:rsidP="001F380A">
            <w:pPr>
              <w:rPr>
                <w:rFonts w:ascii="Verdana" w:hAnsi="Verdana"/>
                <w:sz w:val="18"/>
                <w:szCs w:val="18"/>
              </w:rPr>
            </w:pPr>
            <w:r w:rsidRPr="001F380A">
              <w:rPr>
                <w:rFonts w:ascii="Verdana" w:hAnsi="Verdana"/>
                <w:sz w:val="18"/>
                <w:szCs w:val="18"/>
              </w:rPr>
              <w:t xml:space="preserve">Kommunikationen mellem børn og de pædagogiske medarbejdere bærer generelt præg af </w:t>
            </w:r>
            <w:proofErr w:type="gramStart"/>
            <w:r w:rsidR="00065D81">
              <w:rPr>
                <w:rFonts w:ascii="Verdana" w:hAnsi="Verdana"/>
                <w:sz w:val="18"/>
                <w:szCs w:val="18"/>
              </w:rPr>
              <w:t xml:space="preserve">en </w:t>
            </w:r>
            <w:r w:rsidRPr="001F380A">
              <w:rPr>
                <w:rFonts w:ascii="Verdana" w:hAnsi="Verdana"/>
                <w:sz w:val="18"/>
                <w:szCs w:val="18"/>
              </w:rPr>
              <w:t xml:space="preserve"> optagethed</w:t>
            </w:r>
            <w:proofErr w:type="gramEnd"/>
            <w:r w:rsidRPr="001F380A">
              <w:rPr>
                <w:rFonts w:ascii="Verdana" w:hAnsi="Verdana"/>
                <w:sz w:val="18"/>
                <w:szCs w:val="18"/>
              </w:rPr>
              <w:t xml:space="preserve"> af at understøtte børns sprog.</w:t>
            </w:r>
            <w:r w:rsidR="0010612C">
              <w:rPr>
                <w:rFonts w:ascii="Verdana" w:hAnsi="Verdana"/>
                <w:sz w:val="18"/>
                <w:szCs w:val="18"/>
              </w:rPr>
              <w:t xml:space="preserve"> Der ses mange </w:t>
            </w:r>
            <w:r w:rsidR="0091740B">
              <w:rPr>
                <w:rFonts w:ascii="Verdana" w:hAnsi="Verdana"/>
                <w:sz w:val="18"/>
                <w:szCs w:val="18"/>
              </w:rPr>
              <w:t xml:space="preserve">sprogstimulerende billeder i børnehøjde. </w:t>
            </w:r>
          </w:p>
          <w:p w14:paraId="44A9C885" w14:textId="77777777" w:rsidR="0091740B" w:rsidRDefault="0091740B" w:rsidP="001F380A">
            <w:pPr>
              <w:rPr>
                <w:rFonts w:ascii="Verdana" w:hAnsi="Verdana"/>
                <w:sz w:val="18"/>
                <w:szCs w:val="18"/>
              </w:rPr>
            </w:pPr>
          </w:p>
          <w:p w14:paraId="10C1FBB8" w14:textId="26723433" w:rsidR="004267B0" w:rsidRDefault="0091740B" w:rsidP="00C701A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Lederen af dagtilbuddet fortæller</w:t>
            </w:r>
            <w:r w:rsidR="006D379D">
              <w:rPr>
                <w:rFonts w:ascii="Verdana" w:hAnsi="Verdana"/>
                <w:sz w:val="18"/>
                <w:szCs w:val="18"/>
              </w:rPr>
              <w:t>,</w:t>
            </w:r>
            <w:r>
              <w:rPr>
                <w:rFonts w:ascii="Verdana" w:hAnsi="Verdana"/>
                <w:sz w:val="18"/>
                <w:szCs w:val="18"/>
              </w:rPr>
              <w:t xml:space="preserve"> at </w:t>
            </w:r>
            <w:r w:rsidR="006D379D">
              <w:rPr>
                <w:rFonts w:ascii="Verdana" w:hAnsi="Verdana"/>
                <w:sz w:val="18"/>
                <w:szCs w:val="18"/>
              </w:rPr>
              <w:t xml:space="preserve">alle medarbejdere har været på et kursus i forskellen mellem ros og anerkendelse, og at der fortsat arbejdes med dette i praksis. </w:t>
            </w:r>
          </w:p>
          <w:p w14:paraId="7CE28B1F" w14:textId="77777777" w:rsidR="004267B0" w:rsidRPr="00A73175" w:rsidRDefault="004267B0" w:rsidP="00C701A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150DB" w:rsidRPr="00A73175" w14:paraId="47C76B92" w14:textId="77777777" w:rsidTr="000C06B7">
        <w:trPr>
          <w:trHeight w:val="268"/>
        </w:trPr>
        <w:tc>
          <w:tcPr>
            <w:tcW w:w="9628" w:type="dxa"/>
            <w:shd w:val="clear" w:color="auto" w:fill="EDD9A5" w:themeFill="background2" w:themeFillTint="66"/>
          </w:tcPr>
          <w:p w14:paraId="758699CE" w14:textId="69740D7F" w:rsidR="009150DB" w:rsidRPr="009150DB" w:rsidRDefault="004F5055" w:rsidP="004F505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Konklusion:</w:t>
            </w:r>
            <w:r w:rsidR="009150DB" w:rsidRPr="009150DB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9150DB" w:rsidRPr="00A73175" w14:paraId="1973AB58" w14:textId="77777777" w:rsidTr="000C06B7">
        <w:trPr>
          <w:trHeight w:val="268"/>
        </w:trPr>
        <w:tc>
          <w:tcPr>
            <w:tcW w:w="9628" w:type="dxa"/>
            <w:shd w:val="clear" w:color="auto" w:fill="EDD9A5" w:themeFill="background2" w:themeFillTint="66"/>
          </w:tcPr>
          <w:p w14:paraId="1DA2C144" w14:textId="3215BD01" w:rsidR="009150DB" w:rsidRPr="004F5055" w:rsidRDefault="004F5055" w:rsidP="00C701A6">
            <w:pPr>
              <w:rPr>
                <w:rFonts w:ascii="Verdana" w:hAnsi="Verdana"/>
                <w:sz w:val="18"/>
                <w:szCs w:val="18"/>
              </w:rPr>
            </w:pPr>
            <w:r w:rsidRPr="004F5055">
              <w:rPr>
                <w:rFonts w:ascii="Verdana" w:hAnsi="Verdana"/>
                <w:sz w:val="18"/>
                <w:szCs w:val="18"/>
              </w:rPr>
              <w:t xml:space="preserve">Det uanmeldte pædagogisk tilsyn giver </w:t>
            </w:r>
            <w:r w:rsidR="004E0FC8">
              <w:rPr>
                <w:rFonts w:ascii="Verdana" w:hAnsi="Verdana"/>
                <w:sz w:val="18"/>
                <w:szCs w:val="18"/>
              </w:rPr>
              <w:t xml:space="preserve">ikke </w:t>
            </w:r>
            <w:r w:rsidRPr="004F5055">
              <w:rPr>
                <w:rFonts w:ascii="Verdana" w:hAnsi="Verdana"/>
                <w:sz w:val="18"/>
                <w:szCs w:val="18"/>
              </w:rPr>
              <w:t>anledning til</w:t>
            </w:r>
            <w:r w:rsidR="004E0FC8">
              <w:rPr>
                <w:rFonts w:ascii="Verdana" w:hAnsi="Verdana"/>
                <w:sz w:val="18"/>
                <w:szCs w:val="18"/>
              </w:rPr>
              <w:t xml:space="preserve"> yderligere opfølgning.</w:t>
            </w:r>
          </w:p>
          <w:p w14:paraId="35C5D9D2" w14:textId="77777777" w:rsidR="009150DB" w:rsidRPr="004F5055" w:rsidRDefault="009150DB" w:rsidP="00C701A6">
            <w:pPr>
              <w:rPr>
                <w:rFonts w:ascii="Verdana" w:hAnsi="Verdana"/>
                <w:sz w:val="18"/>
                <w:szCs w:val="18"/>
              </w:rPr>
            </w:pPr>
          </w:p>
          <w:p w14:paraId="06843862" w14:textId="43768B2B" w:rsidR="009150DB" w:rsidRPr="004F5055" w:rsidRDefault="009150DB" w:rsidP="00C701A6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0A8BE4D" w14:textId="01F1D694" w:rsidR="00B62614" w:rsidRPr="009150DB" w:rsidRDefault="00B62614" w:rsidP="009150DB">
      <w:pPr>
        <w:pStyle w:val="Overskrift1"/>
        <w:rPr>
          <w:rFonts w:ascii="Verdana" w:hAnsi="Verdana"/>
          <w:b/>
          <w:color w:val="auto"/>
          <w:sz w:val="24"/>
          <w:szCs w:val="24"/>
        </w:rPr>
      </w:pPr>
      <w:r w:rsidRPr="009150DB">
        <w:rPr>
          <w:rFonts w:ascii="Verdana" w:hAnsi="Verdana"/>
          <w:b/>
          <w:color w:val="auto"/>
          <w:sz w:val="24"/>
          <w:szCs w:val="24"/>
        </w:rPr>
        <w:t xml:space="preserve">Konklusion fra </w:t>
      </w:r>
      <w:r w:rsidR="004267B0" w:rsidRPr="009150DB">
        <w:rPr>
          <w:rFonts w:ascii="Verdana" w:hAnsi="Verdana"/>
          <w:b/>
          <w:color w:val="auto"/>
          <w:sz w:val="24"/>
          <w:szCs w:val="24"/>
        </w:rPr>
        <w:t>det</w:t>
      </w:r>
      <w:r w:rsidR="009150DB">
        <w:rPr>
          <w:rFonts w:ascii="Verdana" w:hAnsi="Verdana"/>
          <w:b/>
          <w:color w:val="auto"/>
          <w:sz w:val="24"/>
          <w:szCs w:val="24"/>
        </w:rPr>
        <w:t xml:space="preserve"> anmeldte</w:t>
      </w:r>
      <w:r w:rsidR="004267B0" w:rsidRPr="009150DB">
        <w:rPr>
          <w:rFonts w:ascii="Verdana" w:hAnsi="Verdana"/>
          <w:b/>
          <w:color w:val="auto"/>
          <w:sz w:val="24"/>
          <w:szCs w:val="24"/>
        </w:rPr>
        <w:t xml:space="preserve"> </w:t>
      </w:r>
      <w:r w:rsidR="00A12ACB" w:rsidRPr="009150DB">
        <w:rPr>
          <w:rFonts w:ascii="Verdana" w:hAnsi="Verdana"/>
          <w:b/>
          <w:color w:val="auto"/>
          <w:sz w:val="24"/>
          <w:szCs w:val="24"/>
        </w:rPr>
        <w:t xml:space="preserve">pædagogiske </w:t>
      </w:r>
      <w:r w:rsidRPr="009150DB">
        <w:rPr>
          <w:rFonts w:ascii="Verdana" w:hAnsi="Verdana"/>
          <w:b/>
          <w:color w:val="auto"/>
          <w:sz w:val="24"/>
          <w:szCs w:val="24"/>
        </w:rPr>
        <w:t>til</w:t>
      </w:r>
      <w:r w:rsidR="00A12ACB" w:rsidRPr="009150DB">
        <w:rPr>
          <w:rFonts w:ascii="Verdana" w:hAnsi="Verdana"/>
          <w:b/>
          <w:color w:val="auto"/>
          <w:sz w:val="24"/>
          <w:szCs w:val="24"/>
        </w:rPr>
        <w:t>syn</w:t>
      </w:r>
      <w:r w:rsidRPr="009150DB">
        <w:rPr>
          <w:rFonts w:ascii="Verdana" w:hAnsi="Verdana"/>
          <w:b/>
          <w:color w:val="auto"/>
          <w:sz w:val="24"/>
          <w:szCs w:val="24"/>
        </w:rPr>
        <w:t>, dato:</w:t>
      </w:r>
      <w:r w:rsidR="00344C4C" w:rsidRPr="00344C4C">
        <w:t xml:space="preserve"> </w:t>
      </w:r>
      <w:r w:rsidR="00344C4C" w:rsidRPr="00344C4C">
        <w:rPr>
          <w:rFonts w:ascii="Verdana" w:hAnsi="Verdana"/>
          <w:b/>
          <w:color w:val="auto"/>
          <w:sz w:val="24"/>
          <w:szCs w:val="24"/>
        </w:rPr>
        <w:t>31/10-23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Konklusion fra det anmeldte pædagogiske tilsyn, dato:"/>
      </w:tblPr>
      <w:tblGrid>
        <w:gridCol w:w="3513"/>
        <w:gridCol w:w="6115"/>
      </w:tblGrid>
      <w:tr w:rsidR="00B62614" w:rsidRPr="00A73175" w14:paraId="0D61BE7A" w14:textId="77777777" w:rsidTr="000C06B7">
        <w:trPr>
          <w:trHeight w:val="1112"/>
        </w:trPr>
        <w:tc>
          <w:tcPr>
            <w:tcW w:w="3513" w:type="dxa"/>
            <w:shd w:val="clear" w:color="auto" w:fill="EDD9A5" w:themeFill="accent2" w:themeFillTint="66"/>
          </w:tcPr>
          <w:p w14:paraId="349938F6" w14:textId="77777777" w:rsidR="00B62614" w:rsidRPr="00554BBA" w:rsidRDefault="00B62614" w:rsidP="00827934">
            <w:pPr>
              <w:rPr>
                <w:rFonts w:ascii="Verdana" w:hAnsi="Verdana"/>
                <w:b/>
                <w:sz w:val="18"/>
                <w:szCs w:val="18"/>
              </w:rPr>
            </w:pPr>
            <w:r w:rsidRPr="00554BBA">
              <w:rPr>
                <w:rFonts w:ascii="Verdana" w:hAnsi="Verdana"/>
                <w:b/>
                <w:sz w:val="18"/>
                <w:szCs w:val="18"/>
              </w:rPr>
              <w:t>Udviklingspunkter:</w:t>
            </w:r>
          </w:p>
          <w:p w14:paraId="28F08EB4" w14:textId="02535D3C" w:rsidR="00B62614" w:rsidRPr="00554BBA" w:rsidRDefault="00B62614" w:rsidP="0082793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15" w:type="dxa"/>
            <w:shd w:val="clear" w:color="auto" w:fill="EDD9A5" w:themeFill="accent2" w:themeFillTint="66"/>
          </w:tcPr>
          <w:p w14:paraId="70D326CB" w14:textId="77777777" w:rsidR="00F97710" w:rsidRPr="00F97710" w:rsidRDefault="00F97710" w:rsidP="00F9771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97710">
              <w:rPr>
                <w:rFonts w:ascii="Verdana" w:hAnsi="Verdana"/>
                <w:b/>
                <w:bCs/>
                <w:sz w:val="18"/>
                <w:szCs w:val="18"/>
              </w:rPr>
              <w:t>Leg og Læring</w:t>
            </w:r>
          </w:p>
          <w:p w14:paraId="6F842424" w14:textId="77777777" w:rsidR="00F97710" w:rsidRPr="00F97710" w:rsidRDefault="00F97710" w:rsidP="00F97710">
            <w:pPr>
              <w:rPr>
                <w:rFonts w:ascii="Verdana" w:hAnsi="Verdana"/>
                <w:sz w:val="18"/>
                <w:szCs w:val="18"/>
              </w:rPr>
            </w:pPr>
            <w:r w:rsidRPr="00F97710">
              <w:rPr>
                <w:rFonts w:ascii="Verdana" w:hAnsi="Verdana"/>
                <w:sz w:val="18"/>
                <w:szCs w:val="18"/>
              </w:rPr>
              <w:t>Hvordan kan Børnehytten udvikle de fysiske læringsmiljøer, så de er indbydende og det bliver tydeligere for børnene, hvad der kan leges?</w:t>
            </w:r>
          </w:p>
          <w:p w14:paraId="3B6B7695" w14:textId="77777777" w:rsidR="00F97710" w:rsidRPr="00F97710" w:rsidRDefault="00F97710" w:rsidP="00F97710">
            <w:pPr>
              <w:rPr>
                <w:rFonts w:ascii="Verdana" w:hAnsi="Verdana"/>
                <w:sz w:val="18"/>
                <w:szCs w:val="18"/>
              </w:rPr>
            </w:pPr>
          </w:p>
          <w:p w14:paraId="24B11590" w14:textId="77777777" w:rsidR="00F97710" w:rsidRPr="00F97710" w:rsidRDefault="00F97710" w:rsidP="00F97710">
            <w:pPr>
              <w:rPr>
                <w:rFonts w:ascii="Verdana" w:hAnsi="Verdana"/>
                <w:sz w:val="18"/>
                <w:szCs w:val="18"/>
              </w:rPr>
            </w:pPr>
            <w:r w:rsidRPr="00F97710">
              <w:rPr>
                <w:rFonts w:ascii="Verdana" w:hAnsi="Verdana"/>
                <w:sz w:val="18"/>
                <w:szCs w:val="18"/>
              </w:rPr>
              <w:t>Hvordan kan Børnehytten inddrage de gode erfaringer med sprogindsatsen, så det bliver en fælles kultur i hele huset?</w:t>
            </w:r>
          </w:p>
          <w:p w14:paraId="3894EA36" w14:textId="77777777" w:rsidR="00F97710" w:rsidRPr="00F97710" w:rsidRDefault="00F97710" w:rsidP="00F97710">
            <w:pPr>
              <w:rPr>
                <w:rFonts w:ascii="Verdana" w:hAnsi="Verdana"/>
                <w:sz w:val="18"/>
                <w:szCs w:val="18"/>
              </w:rPr>
            </w:pPr>
          </w:p>
          <w:p w14:paraId="43E9FC99" w14:textId="77777777" w:rsidR="00F97710" w:rsidRPr="00AD6FAD" w:rsidRDefault="00F97710" w:rsidP="00F9771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D6FAD">
              <w:rPr>
                <w:rFonts w:ascii="Verdana" w:hAnsi="Verdana"/>
                <w:b/>
                <w:bCs/>
                <w:sz w:val="18"/>
                <w:szCs w:val="18"/>
              </w:rPr>
              <w:t>Dannelse, Børnesyn og Børneperspektiv</w:t>
            </w:r>
          </w:p>
          <w:p w14:paraId="2F9F4D35" w14:textId="028C5167" w:rsidR="00B62614" w:rsidRPr="00A73175" w:rsidRDefault="00F97710" w:rsidP="00F97710">
            <w:pPr>
              <w:rPr>
                <w:rFonts w:ascii="Verdana" w:hAnsi="Verdana"/>
                <w:sz w:val="18"/>
                <w:szCs w:val="18"/>
              </w:rPr>
            </w:pPr>
            <w:r w:rsidRPr="00F97710">
              <w:rPr>
                <w:rFonts w:ascii="Verdana" w:hAnsi="Verdana"/>
                <w:sz w:val="18"/>
                <w:szCs w:val="18"/>
              </w:rPr>
              <w:lastRenderedPageBreak/>
              <w:t>Hvorledes kan Børnehytten udvikle en praksis, hvor der er et øget fokus på forskellen mellem ros og anerkendelse?</w:t>
            </w:r>
          </w:p>
        </w:tc>
      </w:tr>
    </w:tbl>
    <w:p w14:paraId="4977AC56" w14:textId="6A56A585" w:rsidR="00AA5B42" w:rsidRDefault="00AA5B42" w:rsidP="004E0FC8"/>
    <w:sectPr w:rsidR="00AA5B42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982F5" w14:textId="77777777" w:rsidR="005546B4" w:rsidRDefault="005546B4" w:rsidP="00B62614">
      <w:pPr>
        <w:spacing w:after="0" w:line="240" w:lineRule="auto"/>
      </w:pPr>
      <w:r>
        <w:separator/>
      </w:r>
    </w:p>
  </w:endnote>
  <w:endnote w:type="continuationSeparator" w:id="0">
    <w:p w14:paraId="787B5816" w14:textId="77777777" w:rsidR="005546B4" w:rsidRDefault="005546B4" w:rsidP="00B62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9893504"/>
      <w:docPartObj>
        <w:docPartGallery w:val="Page Numbers (Bottom of Page)"/>
        <w:docPartUnique/>
      </w:docPartObj>
    </w:sdtPr>
    <w:sdtEndPr/>
    <w:sdtContent>
      <w:p w14:paraId="130A6B02" w14:textId="59BAE0F5" w:rsidR="00B62614" w:rsidRDefault="00B62614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F33">
          <w:rPr>
            <w:noProof/>
          </w:rPr>
          <w:t>1</w:t>
        </w:r>
        <w:r>
          <w:fldChar w:fldCharType="end"/>
        </w:r>
      </w:p>
    </w:sdtContent>
  </w:sdt>
  <w:p w14:paraId="65B9FFDF" w14:textId="77777777" w:rsidR="00B62614" w:rsidRDefault="00B6261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4492D" w14:textId="77777777" w:rsidR="005546B4" w:rsidRDefault="005546B4" w:rsidP="00B62614">
      <w:pPr>
        <w:spacing w:after="0" w:line="240" w:lineRule="auto"/>
      </w:pPr>
      <w:r>
        <w:separator/>
      </w:r>
    </w:p>
  </w:footnote>
  <w:footnote w:type="continuationSeparator" w:id="0">
    <w:p w14:paraId="6068E744" w14:textId="77777777" w:rsidR="005546B4" w:rsidRDefault="005546B4" w:rsidP="00B62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DF9A8" w14:textId="50341054" w:rsidR="00B62614" w:rsidRDefault="00B62614" w:rsidP="00B62614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0FB475F1" wp14:editId="191D625D">
          <wp:extent cx="916075" cy="658348"/>
          <wp:effectExtent l="0" t="0" r="0" b="889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3774" cy="771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231300" w14:textId="77777777" w:rsidR="00B62614" w:rsidRDefault="00B6261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nBnwHwfsdrcmqA4BYn3hW3MRhiQ3mgVbe8VSkyiKL4KSDs0SosU3tVkE9SzdnBpG"/>
  </w:docVars>
  <w:rsids>
    <w:rsidRoot w:val="00B62614"/>
    <w:rsid w:val="00034949"/>
    <w:rsid w:val="00065D81"/>
    <w:rsid w:val="000C06B7"/>
    <w:rsid w:val="000E5DA8"/>
    <w:rsid w:val="0010612C"/>
    <w:rsid w:val="00137621"/>
    <w:rsid w:val="00155737"/>
    <w:rsid w:val="00192D83"/>
    <w:rsid w:val="0019306C"/>
    <w:rsid w:val="001A02D2"/>
    <w:rsid w:val="001F380A"/>
    <w:rsid w:val="001F5426"/>
    <w:rsid w:val="001F5C64"/>
    <w:rsid w:val="002475C9"/>
    <w:rsid w:val="00251793"/>
    <w:rsid w:val="002B7650"/>
    <w:rsid w:val="002E79D8"/>
    <w:rsid w:val="00334E3E"/>
    <w:rsid w:val="00344C4C"/>
    <w:rsid w:val="00351A2A"/>
    <w:rsid w:val="00394DA2"/>
    <w:rsid w:val="0039580A"/>
    <w:rsid w:val="003A672F"/>
    <w:rsid w:val="003C167A"/>
    <w:rsid w:val="004267B0"/>
    <w:rsid w:val="0045720F"/>
    <w:rsid w:val="004E0FC8"/>
    <w:rsid w:val="004E1DDF"/>
    <w:rsid w:val="004F5055"/>
    <w:rsid w:val="00515EA9"/>
    <w:rsid w:val="00526ED7"/>
    <w:rsid w:val="005546B4"/>
    <w:rsid w:val="00565F33"/>
    <w:rsid w:val="0056746F"/>
    <w:rsid w:val="00596FED"/>
    <w:rsid w:val="005A6366"/>
    <w:rsid w:val="005B54AD"/>
    <w:rsid w:val="005D5DEC"/>
    <w:rsid w:val="005E01EB"/>
    <w:rsid w:val="00695861"/>
    <w:rsid w:val="006B1E23"/>
    <w:rsid w:val="006B5D24"/>
    <w:rsid w:val="006D379D"/>
    <w:rsid w:val="006F1DCF"/>
    <w:rsid w:val="007416B5"/>
    <w:rsid w:val="007429BB"/>
    <w:rsid w:val="007609B6"/>
    <w:rsid w:val="007B799C"/>
    <w:rsid w:val="007E7291"/>
    <w:rsid w:val="008D7791"/>
    <w:rsid w:val="008D7DC1"/>
    <w:rsid w:val="00912944"/>
    <w:rsid w:val="00914805"/>
    <w:rsid w:val="009150DB"/>
    <w:rsid w:val="00917013"/>
    <w:rsid w:val="0091740B"/>
    <w:rsid w:val="009515A2"/>
    <w:rsid w:val="009775A3"/>
    <w:rsid w:val="009E0430"/>
    <w:rsid w:val="00A12ACB"/>
    <w:rsid w:val="00A337A1"/>
    <w:rsid w:val="00A665E0"/>
    <w:rsid w:val="00AA5B42"/>
    <w:rsid w:val="00AD6FAD"/>
    <w:rsid w:val="00AE1A01"/>
    <w:rsid w:val="00B520A0"/>
    <w:rsid w:val="00B62614"/>
    <w:rsid w:val="00BA558B"/>
    <w:rsid w:val="00BE2673"/>
    <w:rsid w:val="00C835D3"/>
    <w:rsid w:val="00CE6EF0"/>
    <w:rsid w:val="00CF25C6"/>
    <w:rsid w:val="00D23C71"/>
    <w:rsid w:val="00D461F6"/>
    <w:rsid w:val="00D83BF4"/>
    <w:rsid w:val="00D86A6E"/>
    <w:rsid w:val="00D87B23"/>
    <w:rsid w:val="00E6516B"/>
    <w:rsid w:val="00EC1918"/>
    <w:rsid w:val="00EC318D"/>
    <w:rsid w:val="00F352A5"/>
    <w:rsid w:val="00F51187"/>
    <w:rsid w:val="00F97710"/>
    <w:rsid w:val="00FE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011F3"/>
  <w15:chartTrackingRefBased/>
  <w15:docId w15:val="{5AC79BC9-F01D-4AC1-AFF3-6A94CB8D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614"/>
  </w:style>
  <w:style w:type="paragraph" w:styleId="Overskrift1">
    <w:name w:val="heading 1"/>
    <w:basedOn w:val="Normal"/>
    <w:next w:val="Normal"/>
    <w:link w:val="Overskrift1Tegn"/>
    <w:uiPriority w:val="9"/>
    <w:qFormat/>
    <w:rsid w:val="00B62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21C2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A5B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21C2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62614"/>
    <w:rPr>
      <w:rFonts w:asciiTheme="majorHAnsi" w:eastAsiaTheme="majorEastAsia" w:hAnsiTheme="majorHAnsi" w:cstheme="majorBidi"/>
      <w:color w:val="921C21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B6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626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62614"/>
  </w:style>
  <w:style w:type="paragraph" w:styleId="Sidefod">
    <w:name w:val="footer"/>
    <w:basedOn w:val="Normal"/>
    <w:link w:val="SidefodTegn"/>
    <w:uiPriority w:val="99"/>
    <w:unhideWhenUsed/>
    <w:rsid w:val="00B626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62614"/>
  </w:style>
  <w:style w:type="character" w:customStyle="1" w:styleId="Overskrift2Tegn">
    <w:name w:val="Overskrift 2 Tegn"/>
    <w:basedOn w:val="Standardskrifttypeiafsnit"/>
    <w:link w:val="Overskrift2"/>
    <w:uiPriority w:val="9"/>
    <w:rsid w:val="00AA5B42"/>
    <w:rPr>
      <w:rFonts w:asciiTheme="majorHAnsi" w:eastAsiaTheme="majorEastAsia" w:hAnsiTheme="majorHAnsi" w:cstheme="majorBidi"/>
      <w:color w:val="921C21" w:themeColor="accent1" w:themeShade="BF"/>
      <w:sz w:val="26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267B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4267B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267B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267B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267B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6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6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uldborgsund">
      <a:dk1>
        <a:sysClr val="windowText" lastClr="000000"/>
      </a:dk1>
      <a:lt1>
        <a:sysClr val="window" lastClr="FFFFFF"/>
      </a:lt1>
      <a:dk2>
        <a:srgbClr val="C4262D"/>
      </a:dk2>
      <a:lt2>
        <a:srgbClr val="CA9E28"/>
      </a:lt2>
      <a:accent1>
        <a:srgbClr val="C4262D"/>
      </a:accent1>
      <a:accent2>
        <a:srgbClr val="CA9E28"/>
      </a:accent2>
      <a:accent3>
        <a:srgbClr val="4D4D4D"/>
      </a:accent3>
      <a:accent4>
        <a:srgbClr val="009EC5"/>
      </a:accent4>
      <a:accent5>
        <a:srgbClr val="9C9E30"/>
      </a:accent5>
      <a:accent6>
        <a:srgbClr val="E4D093"/>
      </a:accent6>
      <a:hlink>
        <a:srgbClr val="009EC5"/>
      </a:hlink>
      <a:folHlink>
        <a:srgbClr val="B5DFE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6FF97DA439B94DA680E6C99A4C4694" ma:contentTypeVersion="6" ma:contentTypeDescription="Opret et nyt dokument." ma:contentTypeScope="" ma:versionID="e6535b7c380020630a346fa23ab7e655">
  <xsd:schema xmlns:xsd="http://www.w3.org/2001/XMLSchema" xmlns:xs="http://www.w3.org/2001/XMLSchema" xmlns:p="http://schemas.microsoft.com/office/2006/metadata/properties" xmlns:ns3="c2dfbc02-e9ed-4fbb-ae38-0abc63a468b6" targetNamespace="http://schemas.microsoft.com/office/2006/metadata/properties" ma:root="true" ma:fieldsID="b1d993106712390d2ef164322671aedb" ns3:_="">
    <xsd:import namespace="c2dfbc02-e9ed-4fbb-ae38-0abc63a468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fbc02-e9ed-4fbb-ae38-0abc63a46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9FBBC0-1EDC-4B4C-9F92-B67C219783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3E203A-5CAB-454D-994E-BE7C774BF3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EC6F47-8EC8-4C01-8E53-FDED042BC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fbc02-e9ed-4fbb-ae38-0abc63a46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37bb9cd-925c-41fc-aa3b-71395d0ab97b}" enabled="0" method="" siteId="{237bb9cd-925c-41fc-aa3b-71395d0ab9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2327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Guldborgsund Kommune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af uanmeldt pædagogisk tilsyn</dc:title>
  <dc:subject/>
  <dc:creator>Pernille Tuxen</dc:creator>
  <cp:keywords/>
  <dc:description/>
  <cp:lastModifiedBy>Børnehytten - Kettinge Gl. Savværk</cp:lastModifiedBy>
  <cp:revision>2</cp:revision>
  <cp:lastPrinted>2023-01-18T13:49:00Z</cp:lastPrinted>
  <dcterms:created xsi:type="dcterms:W3CDTF">2024-12-05T12:00:00Z</dcterms:created>
  <dcterms:modified xsi:type="dcterms:W3CDTF">2024-12-05T12:00:00Z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0x010100806FF97DA439B94DA680E6C99A4C4694</vt:lpwstr>
  </property>
</Properties>
</file>